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E" w:rsidRPr="00D13C5A" w:rsidRDefault="00736B0E" w:rsidP="00736B0E">
      <w:pPr>
        <w:spacing w:before="120" w:after="60"/>
        <w:jc w:val="center"/>
        <w:rPr>
          <w:b/>
        </w:rPr>
      </w:pPr>
      <w:r w:rsidRPr="00D13C5A">
        <w:rPr>
          <w:b/>
        </w:rPr>
        <w:t>РЕГЛАМЕНТ ОБМЕНА ДЕЛОВЫМИ ПОДАРКАМИ И ЗНАКАМИ ДЕЛОВОГО ГОСТЕПРИИМСТВА В АВТОНОМНОМ УЧРЕЖДЕНИИ ПРОФЕССИОНАЛЬНОГО ОБРАЗОВАНИЯ ХАНТЫ - МАНСИЙСКОГО АВТОНОМНОГО ОКРУГА - ЮГРЫ «НЕФТЕЮГАНСКИЙ ПОЛИТЕХНИЧЕСКИЙ КОЛЛЕДЖ»</w:t>
      </w:r>
    </w:p>
    <w:p w:rsidR="00736B0E" w:rsidRPr="00D13C5A" w:rsidRDefault="00736B0E" w:rsidP="00736B0E">
      <w:pPr>
        <w:spacing w:before="120" w:after="60"/>
        <w:jc w:val="center"/>
      </w:pPr>
    </w:p>
    <w:p w:rsidR="00736B0E" w:rsidRPr="00D13C5A" w:rsidRDefault="00736B0E" w:rsidP="00736B0E">
      <w:pPr>
        <w:numPr>
          <w:ilvl w:val="0"/>
          <w:numId w:val="3"/>
        </w:numPr>
        <w:spacing w:after="160" w:line="259" w:lineRule="auto"/>
        <w:jc w:val="center"/>
        <w:rPr>
          <w:rFonts w:eastAsia="Calibri"/>
          <w:b/>
          <w:szCs w:val="22"/>
          <w:lang w:eastAsia="en-US"/>
        </w:rPr>
      </w:pPr>
      <w:r w:rsidRPr="00D13C5A">
        <w:rPr>
          <w:rFonts w:eastAsia="Calibri"/>
          <w:b/>
          <w:szCs w:val="22"/>
          <w:lang w:eastAsia="en-US"/>
        </w:rPr>
        <w:t>ОБЩИЕ ПОЛОЖЕНИЯ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57"/>
        <w:contextualSpacing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Настоящий Регл</w:t>
      </w:r>
      <w:bookmarkStart w:id="0" w:name="_GoBack"/>
      <w:bookmarkEnd w:id="0"/>
      <w:r w:rsidRPr="00D13C5A">
        <w:rPr>
          <w:rFonts w:eastAsia="Calibri"/>
          <w:szCs w:val="22"/>
          <w:lang w:eastAsia="en-US"/>
        </w:rPr>
        <w:t>амент обмена деловыми подарками и знаками делового гостеприимства в автономном учреждении профессионального образования Ханты - Мансийского автономного округа - Югры «</w:t>
      </w:r>
      <w:proofErr w:type="spellStart"/>
      <w:r w:rsidRPr="00D13C5A">
        <w:rPr>
          <w:rFonts w:eastAsia="Calibri"/>
          <w:szCs w:val="22"/>
          <w:lang w:eastAsia="en-US"/>
        </w:rPr>
        <w:t>Нефтеюганский</w:t>
      </w:r>
      <w:proofErr w:type="spellEnd"/>
      <w:r w:rsidRPr="00D13C5A">
        <w:rPr>
          <w:rFonts w:eastAsia="Calibri"/>
          <w:szCs w:val="22"/>
          <w:lang w:eastAsia="en-US"/>
        </w:rPr>
        <w:t xml:space="preserve"> политехнический колледж» (далее по тексту - Регламент) разработан в соответствии с положениями Конституции Российской Федерации, Федеральных законов от 25.12.2008г. № 273-ФЗ «О противодействии коррупции», постановлением Губернатора Ханты-Мансийского автономного округа - Югры от 18.02.2014 года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Кодексом этики и служебного поведения работников автономного учреждения профессионального образования Ханты - Мансийского автономного округа - Югры «</w:t>
      </w:r>
      <w:proofErr w:type="spellStart"/>
      <w:r w:rsidRPr="00D13C5A">
        <w:rPr>
          <w:rFonts w:eastAsia="Calibri"/>
          <w:szCs w:val="22"/>
          <w:lang w:eastAsia="en-US"/>
        </w:rPr>
        <w:t>Нефтеюганский</w:t>
      </w:r>
      <w:proofErr w:type="spellEnd"/>
      <w:r w:rsidRPr="00D13C5A">
        <w:rPr>
          <w:rFonts w:eastAsia="Calibri"/>
          <w:szCs w:val="22"/>
          <w:lang w:eastAsia="en-US"/>
        </w:rPr>
        <w:t xml:space="preserve"> политехнический колледж» (далее по тексту - Образовательная организация) иными нормативно правовыми актами Российской Федерации.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57"/>
        <w:contextualSpacing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Регламент основан на общепризнанных нравственных принципах и нормах российского общества и государства и исходит из того, что долговременные деловые отношения, основываются на доверии, взаимном уважении и успехе Образовательной организации.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57"/>
        <w:contextualSpacing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Отношения, при которых нарушается закон и принципы деловой этики, вредят репутации Образовательной организации и честному имени ее работников и не могут обеспечить устойчивое долговременное развитие Образовательной организации. Такого рода отношения не могут быть приемлемы в практике работы Образовательной организации.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57"/>
        <w:contextualSpacing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Под, термином «работник» в настоящем Регламенте понимаются штатные работники с полной или частичной занятостью, вступившие в трудовые отношения с Образовательной организацией, независимо от их должности.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57"/>
        <w:contextualSpacing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Работникам, представляющим интересы Образовательной организации или 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736B0E" w:rsidRDefault="00736B0E" w:rsidP="00736B0E">
      <w:pPr>
        <w:numPr>
          <w:ilvl w:val="1"/>
          <w:numId w:val="3"/>
        </w:numPr>
        <w:spacing w:after="160"/>
        <w:ind w:left="0" w:firstLine="357"/>
        <w:contextualSpacing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При употреблении в настоящем Регламенте терминов, описывающих гостеприимство, - «представительские мероприятия», «деловое гостеприимство», «корпоративное гостеприимство» - все положения данного Регламента применимы к ним одинаковым образом.</w:t>
      </w:r>
    </w:p>
    <w:p w:rsidR="00736B0E" w:rsidRDefault="00736B0E" w:rsidP="00736B0E">
      <w:pPr>
        <w:spacing w:after="160"/>
        <w:contextualSpacing/>
        <w:jc w:val="both"/>
        <w:rPr>
          <w:rFonts w:eastAsia="Calibri"/>
          <w:szCs w:val="22"/>
          <w:lang w:eastAsia="en-US"/>
        </w:rPr>
      </w:pPr>
    </w:p>
    <w:p w:rsidR="00736B0E" w:rsidRPr="00D13C5A" w:rsidRDefault="00736B0E" w:rsidP="00736B0E">
      <w:pPr>
        <w:spacing w:after="160"/>
        <w:contextualSpacing/>
        <w:jc w:val="both"/>
        <w:rPr>
          <w:rFonts w:eastAsia="Calibri"/>
          <w:szCs w:val="22"/>
          <w:lang w:eastAsia="en-US"/>
        </w:rPr>
      </w:pPr>
    </w:p>
    <w:p w:rsidR="00736B0E" w:rsidRPr="00D13C5A" w:rsidRDefault="00736B0E" w:rsidP="00736B0E">
      <w:pPr>
        <w:numPr>
          <w:ilvl w:val="0"/>
          <w:numId w:val="3"/>
        </w:numPr>
        <w:spacing w:after="160" w:line="259" w:lineRule="auto"/>
        <w:jc w:val="center"/>
        <w:rPr>
          <w:rFonts w:eastAsia="Calibri"/>
          <w:b/>
          <w:szCs w:val="22"/>
          <w:lang w:eastAsia="en-US"/>
        </w:rPr>
      </w:pPr>
      <w:r w:rsidRPr="00D13C5A">
        <w:rPr>
          <w:rFonts w:eastAsia="Calibri"/>
          <w:b/>
          <w:szCs w:val="22"/>
          <w:lang w:eastAsia="en-US"/>
        </w:rPr>
        <w:t>ЦЕЛИ И НАМЕРЕНИЯ</w:t>
      </w:r>
    </w:p>
    <w:p w:rsidR="00736B0E" w:rsidRPr="00D13C5A" w:rsidRDefault="00736B0E" w:rsidP="00736B0E">
      <w:pPr>
        <w:numPr>
          <w:ilvl w:val="1"/>
          <w:numId w:val="3"/>
        </w:num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Данный регламент преследует следующие цели:</w:t>
      </w:r>
    </w:p>
    <w:p w:rsidR="00736B0E" w:rsidRPr="00D13C5A" w:rsidRDefault="00736B0E" w:rsidP="00736B0E">
      <w:pPr>
        <w:numPr>
          <w:ilvl w:val="2"/>
          <w:numId w:val="3"/>
        </w:numPr>
        <w:spacing w:after="160" w:line="259" w:lineRule="auto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обеспечение</w:t>
      </w:r>
      <w:proofErr w:type="gramEnd"/>
      <w:r w:rsidRPr="00D13C5A">
        <w:rPr>
          <w:rFonts w:eastAsia="Calibri"/>
          <w:szCs w:val="22"/>
          <w:lang w:eastAsia="en-US"/>
        </w:rPr>
        <w:t xml:space="preserve"> единообразного гостеприимства, представительских мероприятии в деловой практике Образовательной организации;</w:t>
      </w:r>
    </w:p>
    <w:p w:rsidR="00736B0E" w:rsidRPr="00D13C5A" w:rsidRDefault="00736B0E" w:rsidP="00736B0E">
      <w:pPr>
        <w:numPr>
          <w:ilvl w:val="2"/>
          <w:numId w:val="3"/>
        </w:numPr>
        <w:spacing w:after="160" w:line="259" w:lineRule="auto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осуществление</w:t>
      </w:r>
      <w:proofErr w:type="gramEnd"/>
      <w:r w:rsidRPr="00D13C5A">
        <w:rPr>
          <w:rFonts w:eastAsia="Calibri"/>
          <w:szCs w:val="22"/>
          <w:lang w:eastAsia="en-US"/>
        </w:rPr>
        <w:t xml:space="preserve"> хозяйственной и приносящей доход деятельности Образовательной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36B0E" w:rsidRPr="00D13C5A" w:rsidRDefault="00736B0E" w:rsidP="00736B0E">
      <w:pPr>
        <w:numPr>
          <w:ilvl w:val="2"/>
          <w:numId w:val="3"/>
        </w:numPr>
        <w:spacing w:after="160" w:line="259" w:lineRule="auto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определение</w:t>
      </w:r>
      <w:proofErr w:type="gramEnd"/>
      <w:r w:rsidRPr="00D13C5A">
        <w:rPr>
          <w:rFonts w:eastAsia="Calibri"/>
          <w:szCs w:val="22"/>
          <w:lang w:eastAsia="en-US"/>
        </w:rPr>
        <w:t xml:space="preserve"> единых для всех работников Образовательной организации требований к дарению и принятию деловых подарков, к организации и участию в представительских мероприятиях;</w:t>
      </w:r>
    </w:p>
    <w:p w:rsidR="00736B0E" w:rsidRPr="00D13C5A" w:rsidRDefault="00736B0E" w:rsidP="00736B0E">
      <w:pPr>
        <w:numPr>
          <w:ilvl w:val="2"/>
          <w:numId w:val="3"/>
        </w:numPr>
        <w:spacing w:after="160" w:line="259" w:lineRule="auto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минимизирование</w:t>
      </w:r>
      <w:proofErr w:type="gramEnd"/>
      <w:r w:rsidRPr="00D13C5A">
        <w:rPr>
          <w:rFonts w:eastAsia="Calibri"/>
          <w:szCs w:val="22"/>
          <w:lang w:eastAsia="en-US"/>
        </w:rPr>
        <w:t xml:space="preserve">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Образовательной организации.</w:t>
      </w:r>
    </w:p>
    <w:p w:rsidR="00736B0E" w:rsidRPr="00D13C5A" w:rsidRDefault="00736B0E" w:rsidP="00736B0E">
      <w:pPr>
        <w:numPr>
          <w:ilvl w:val="1"/>
          <w:numId w:val="3"/>
        </w:numPr>
        <w:spacing w:after="160" w:line="259" w:lineRule="auto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Образовательная организация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Образовательной организации.</w:t>
      </w:r>
    </w:p>
    <w:p w:rsidR="00736B0E" w:rsidRPr="00D13C5A" w:rsidRDefault="00736B0E" w:rsidP="00736B0E">
      <w:pPr>
        <w:numPr>
          <w:ilvl w:val="0"/>
          <w:numId w:val="3"/>
        </w:numPr>
        <w:spacing w:after="160"/>
        <w:jc w:val="center"/>
        <w:rPr>
          <w:rFonts w:eastAsia="Calibri"/>
          <w:b/>
          <w:szCs w:val="22"/>
          <w:lang w:eastAsia="en-US"/>
        </w:rPr>
      </w:pPr>
      <w:r w:rsidRPr="00D13C5A">
        <w:rPr>
          <w:rFonts w:eastAsia="Calibri"/>
          <w:b/>
          <w:szCs w:val="22"/>
          <w:lang w:eastAsia="en-US"/>
        </w:rPr>
        <w:t>ПРАВИЛА ОБМЕНА ДЕЛОВЫМИ ПОДАРКАМИ И ЗНАКАМИ ДЕЛОВОГО ГОСТЕПРИИМСТВА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Подарки, которые сотрудники от имени Образовательной организации могут передавать другим лицам или принимать от имени Образовательной организации,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36B0E" w:rsidRPr="00D13C5A" w:rsidRDefault="00736B0E" w:rsidP="00736B0E">
      <w:pPr>
        <w:numPr>
          <w:ilvl w:val="2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быть</w:t>
      </w:r>
      <w:proofErr w:type="gramEnd"/>
      <w:r w:rsidRPr="00D13C5A">
        <w:rPr>
          <w:rFonts w:eastAsia="Calibri"/>
          <w:szCs w:val="22"/>
          <w:lang w:eastAsia="en-US"/>
        </w:rPr>
        <w:t xml:space="preserve"> прямо связаны с уставными целями деятельности Образовательной организации либо с памятными датами, юбилеями, общенациональными праздниками и т.п.;</w:t>
      </w:r>
    </w:p>
    <w:p w:rsidR="00736B0E" w:rsidRPr="00D13C5A" w:rsidRDefault="00736B0E" w:rsidP="00736B0E">
      <w:pPr>
        <w:numPr>
          <w:ilvl w:val="2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быть</w:t>
      </w:r>
      <w:proofErr w:type="gramEnd"/>
      <w:r w:rsidRPr="00D13C5A">
        <w:rPr>
          <w:rFonts w:eastAsia="Calibri"/>
          <w:szCs w:val="22"/>
          <w:lang w:eastAsia="en-US"/>
        </w:rPr>
        <w:t xml:space="preserve"> разумно обоснованными, соразмерными и не являться предметами роскоши;</w:t>
      </w:r>
    </w:p>
    <w:p w:rsidR="00736B0E" w:rsidRPr="00D13C5A" w:rsidRDefault="00736B0E" w:rsidP="00736B0E">
      <w:pPr>
        <w:numPr>
          <w:ilvl w:val="2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не</w:t>
      </w:r>
      <w:proofErr w:type="gramEnd"/>
      <w:r w:rsidRPr="00D13C5A">
        <w:rPr>
          <w:rFonts w:eastAsia="Calibri"/>
          <w:szCs w:val="22"/>
          <w:lang w:eastAsia="en-US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</w:t>
      </w:r>
      <w:r w:rsidRPr="00D13C5A">
        <w:rPr>
          <w:rFonts w:eastAsia="Calibri"/>
          <w:szCs w:val="22"/>
          <w:lang w:eastAsia="en-US"/>
        </w:rPr>
        <w:lastRenderedPageBreak/>
        <w:t>определенных решений, либо попытку оказать влияние на получателя с иной незаконной или неэтичной целью;</w:t>
      </w:r>
    </w:p>
    <w:p w:rsidR="00736B0E" w:rsidRPr="00D13C5A" w:rsidRDefault="00736B0E" w:rsidP="00736B0E">
      <w:pPr>
        <w:numPr>
          <w:ilvl w:val="2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не</w:t>
      </w:r>
      <w:proofErr w:type="gramEnd"/>
      <w:r w:rsidRPr="00D13C5A">
        <w:rPr>
          <w:rFonts w:eastAsia="Calibri"/>
          <w:szCs w:val="22"/>
          <w:lang w:eastAsia="en-US"/>
        </w:rPr>
        <w:t xml:space="preserve"> создавать </w:t>
      </w:r>
      <w:proofErr w:type="spellStart"/>
      <w:r w:rsidRPr="00D13C5A">
        <w:rPr>
          <w:rFonts w:eastAsia="Calibri"/>
          <w:szCs w:val="22"/>
          <w:lang w:eastAsia="en-US"/>
        </w:rPr>
        <w:t>репутационного</w:t>
      </w:r>
      <w:proofErr w:type="spellEnd"/>
      <w:r w:rsidRPr="00D13C5A">
        <w:rPr>
          <w:rFonts w:eastAsia="Calibri"/>
          <w:szCs w:val="22"/>
          <w:lang w:eastAsia="en-US"/>
        </w:rPr>
        <w:t xml:space="preserve"> риска для Образовательной организации, сотрудников и иных лиц в случае раскрытия информации о совершённых подарках и понесённых представительских расходах;</w:t>
      </w:r>
    </w:p>
    <w:p w:rsidR="00736B0E" w:rsidRPr="00D13C5A" w:rsidRDefault="00736B0E" w:rsidP="00736B0E">
      <w:pPr>
        <w:numPr>
          <w:ilvl w:val="2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не</w:t>
      </w:r>
      <w:proofErr w:type="gramEnd"/>
      <w:r w:rsidRPr="00D13C5A">
        <w:rPr>
          <w:rFonts w:eastAsia="Calibri"/>
          <w:szCs w:val="22"/>
          <w:lang w:eastAsia="en-US"/>
        </w:rPr>
        <w:t xml:space="preserve"> противоречить принципам и требованиям антикоррупционной политики Образовательной организации, Кодекса этики и служебного поведения работников Образовательной организации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Работники, представляя интересы Образовательной организации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Не допускается передавать и принимать подарки от имени Образовательной организации,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Работникам Образовательной организации не рекомендуется принимать или передавать подарки либо услуги в любом виде от контрагентов Образовательной организации или третьих лиц в качестве благодарности за совершенную услугу или данный совет.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Образовательная организация не приемлет коррупции. Подарки не должны быть использованы для дачи/получения взяток или коррупции во всех ее проявления.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Подарки и услуги, предоставляемые Образовательной организацией, передаются только от имени Образовательной организации в целом, а не как подарок от отдельного работника Образовательной организации.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Работник Образовательной организации,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736B0E" w:rsidRPr="00D13C5A" w:rsidRDefault="00736B0E" w:rsidP="00736B0E">
      <w:pPr>
        <w:numPr>
          <w:ilvl w:val="2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lastRenderedPageBreak/>
        <w:t>отказаться</w:t>
      </w:r>
      <w:proofErr w:type="gramEnd"/>
      <w:r w:rsidRPr="00D13C5A">
        <w:rPr>
          <w:rFonts w:eastAsia="Calibri"/>
          <w:szCs w:val="22"/>
          <w:lang w:eastAsia="en-US"/>
        </w:rPr>
        <w:t xml:space="preserve">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:rsidR="00736B0E" w:rsidRPr="00D13C5A" w:rsidRDefault="00736B0E" w:rsidP="00736B0E">
      <w:pPr>
        <w:numPr>
          <w:ilvl w:val="2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по</w:t>
      </w:r>
      <w:proofErr w:type="gramEnd"/>
      <w:r w:rsidRPr="00D13C5A">
        <w:rPr>
          <w:rFonts w:eastAsia="Calibri"/>
          <w:szCs w:val="22"/>
          <w:lang w:eastAsia="en-US"/>
        </w:rPr>
        <w:t xml:space="preserve">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736B0E" w:rsidRPr="00D13C5A" w:rsidRDefault="00736B0E" w:rsidP="00736B0E">
      <w:pPr>
        <w:numPr>
          <w:ilvl w:val="2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proofErr w:type="gramStart"/>
      <w:r w:rsidRPr="00D13C5A">
        <w:rPr>
          <w:rFonts w:eastAsia="Calibri"/>
          <w:szCs w:val="22"/>
          <w:lang w:eastAsia="en-US"/>
        </w:rPr>
        <w:t>в</w:t>
      </w:r>
      <w:proofErr w:type="gramEnd"/>
      <w:r w:rsidRPr="00D13C5A">
        <w:rPr>
          <w:rFonts w:eastAsia="Calibri"/>
          <w:szCs w:val="22"/>
          <w:lang w:eastAsia="en-US"/>
        </w:rPr>
        <w:t xml:space="preserve">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Образовательной организации и Комиссии по соблюдению требований к служебному поведению и урегулированию конфликта интересов и продолжить работу в установленном в Образовательной организации порядке над вопросом, с которым был связан подарок или вознаграждение.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0" w:firstLine="360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 xml:space="preserve">Для установления и поддержания деловых отношений и как проявление общепринятой вежливости работники Образовательной организации могут и презентовать третьим лицам и получать от них представительские подарки. Под представительскими подарками понимается сувенирная продукция (в </w:t>
      </w:r>
      <w:proofErr w:type="spellStart"/>
      <w:r w:rsidRPr="00D13C5A">
        <w:rPr>
          <w:rFonts w:eastAsia="Calibri"/>
          <w:szCs w:val="22"/>
          <w:lang w:eastAsia="en-US"/>
        </w:rPr>
        <w:t>т.ч</w:t>
      </w:r>
      <w:proofErr w:type="spellEnd"/>
      <w:r w:rsidRPr="00D13C5A">
        <w:rPr>
          <w:rFonts w:eastAsia="Calibri"/>
          <w:szCs w:val="22"/>
          <w:lang w:eastAsia="en-US"/>
        </w:rPr>
        <w:t>. с логотипом организации), цветы, кондитерские изделия и аналогичная продукция.</w:t>
      </w:r>
    </w:p>
    <w:p w:rsidR="00736B0E" w:rsidRPr="00D13C5A" w:rsidRDefault="00736B0E" w:rsidP="00736B0E">
      <w:pPr>
        <w:numPr>
          <w:ilvl w:val="0"/>
          <w:numId w:val="3"/>
        </w:numPr>
        <w:spacing w:after="160"/>
        <w:jc w:val="center"/>
        <w:rPr>
          <w:rFonts w:eastAsia="Calibri"/>
          <w:b/>
          <w:szCs w:val="22"/>
          <w:lang w:eastAsia="en-US"/>
        </w:rPr>
      </w:pPr>
      <w:r w:rsidRPr="00D13C5A">
        <w:rPr>
          <w:rFonts w:eastAsia="Calibri"/>
          <w:b/>
          <w:szCs w:val="22"/>
          <w:lang w:eastAsia="en-US"/>
        </w:rPr>
        <w:t>ОБЛАСТЬ ПРИМЕНЕНИЯ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-142" w:firstLine="502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Настоящий Регламент является обязательным для всех и каждого работника Образовательной организации в период работы в Образовательной организации.</w:t>
      </w:r>
    </w:p>
    <w:p w:rsidR="00736B0E" w:rsidRPr="00D13C5A" w:rsidRDefault="00736B0E" w:rsidP="00736B0E">
      <w:pPr>
        <w:numPr>
          <w:ilvl w:val="1"/>
          <w:numId w:val="3"/>
        </w:numPr>
        <w:spacing w:after="160"/>
        <w:ind w:left="-142" w:firstLine="502"/>
        <w:jc w:val="both"/>
        <w:rPr>
          <w:rFonts w:eastAsia="Calibri"/>
          <w:szCs w:val="22"/>
          <w:lang w:eastAsia="en-US"/>
        </w:rPr>
      </w:pPr>
      <w:r w:rsidRPr="00D13C5A">
        <w:rPr>
          <w:rFonts w:eastAsia="Calibri"/>
          <w:szCs w:val="22"/>
          <w:lang w:eastAsia="en-US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B400E9" w:rsidRPr="00736B0E" w:rsidRDefault="0078090E" w:rsidP="00736B0E"/>
    <w:sectPr w:rsidR="00B400E9" w:rsidRPr="00736B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0E" w:rsidRDefault="0078090E" w:rsidP="00DA0F44">
      <w:r>
        <w:separator/>
      </w:r>
    </w:p>
  </w:endnote>
  <w:endnote w:type="continuationSeparator" w:id="0">
    <w:p w:rsidR="0078090E" w:rsidRDefault="0078090E" w:rsidP="00DA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0E" w:rsidRDefault="0078090E" w:rsidP="00DA0F44">
      <w:r>
        <w:separator/>
      </w:r>
    </w:p>
  </w:footnote>
  <w:footnote w:type="continuationSeparator" w:id="0">
    <w:p w:rsidR="0078090E" w:rsidRDefault="0078090E" w:rsidP="00DA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a4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posOffset>-565785</wp:posOffset>
              </wp:positionH>
              <wp:positionV relativeFrom="page">
                <wp:posOffset>247650</wp:posOffset>
              </wp:positionV>
              <wp:extent cx="6508750" cy="987425"/>
              <wp:effectExtent l="0" t="0" r="6350" b="0"/>
              <wp:wrapTopAndBottom/>
              <wp:docPr id="133" name="Прямоугольник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508750" cy="987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W w:w="4942" w:type="pct"/>
                            <w:shd w:val="clear" w:color="auto" w:fill="4F81BD"/>
                            <w:tblCell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830"/>
                            <w:gridCol w:w="7997"/>
                          </w:tblGrid>
                          <w:tr w:rsidR="00DA0F44" w:rsidRPr="009C74B7" w:rsidTr="00C8567D">
                            <w:trPr>
                              <w:trHeight w:val="20"/>
                            </w:trPr>
                            <w:tc>
                              <w:tcPr>
                                <w:tcW w:w="931" w:type="pct"/>
                                <w:shd w:val="clear" w:color="auto" w:fill="C6D9F1"/>
                                <w:vAlign w:val="center"/>
                              </w:tcPr>
                              <w:p w:rsidR="00DA0F44" w:rsidRPr="006F2676" w:rsidRDefault="00DA0F44" w:rsidP="00DA0F44">
                                <w:pPr>
                                  <w:pStyle w:val="a4"/>
                                  <w:tabs>
                                    <w:tab w:val="clear" w:pos="9355"/>
                                    <w:tab w:val="right" w:pos="1587"/>
                                  </w:tabs>
                                  <w:rPr>
                                    <w:caps/>
                                    <w:color w:val="FFFFFF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FFFFFF"/>
                                  </w:rPr>
                                  <w:drawing>
                                    <wp:inline distT="0" distB="0" distL="0" distR="0" wp14:anchorId="6AD783DC" wp14:editId="68EA9198">
                                      <wp:extent cx="857250" cy="419100"/>
                                      <wp:effectExtent l="0" t="0" r="0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57250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69" w:type="pct"/>
                                <w:shd w:val="clear" w:color="auto" w:fill="4F81BD"/>
                                <w:vAlign w:val="center"/>
                              </w:tcPr>
                              <w:p w:rsidR="00DA0F44" w:rsidRPr="009C74B7" w:rsidRDefault="00DA0F44" w:rsidP="00736B0E">
                                <w:pPr>
                                  <w:pStyle w:val="a4"/>
                                  <w:jc w:val="center"/>
                                  <w:rPr>
                                    <w:caps/>
                                    <w:lang w:eastAsia="en-US"/>
                                  </w:rPr>
                                </w:pPr>
                                <w:r>
                                  <w:rPr>
                                    <w:caps/>
                                  </w:rPr>
                                  <w:t xml:space="preserve">ПРИЛОЖЕНИЕ № </w:t>
                                </w:r>
                                <w:r w:rsidR="00736B0E">
                                  <w:rPr>
                                    <w:caps/>
                                  </w:rPr>
                                  <w:t>1</w:t>
                                </w:r>
                                <w:r>
                                  <w:rPr>
                                    <w:caps/>
                                  </w:rPr>
                                  <w:t xml:space="preserve"> К </w:t>
                                </w:r>
                                <w:r w:rsidRPr="009C74B7">
                                  <w:rPr>
                                    <w:caps/>
                                  </w:rPr>
                                  <w:t>ПОЛОЖЕНИ</w:t>
                                </w:r>
                                <w:r>
                                  <w:rPr>
                                    <w:caps/>
                                  </w:rPr>
                                  <w:t>Ю</w:t>
                                </w:r>
                                <w:r w:rsidRPr="009C74B7">
                                  <w:rPr>
                                    <w:caps/>
                                  </w:rPr>
                                  <w:t xml:space="preserve"> Об антикоррупционной политике</w:t>
                                </w:r>
                              </w:p>
                            </w:tc>
                          </w:tr>
                        </w:tbl>
                        <w:p w:rsidR="00DA0F44" w:rsidRDefault="00DA0F44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Прямоугольник 133" o:spid="_x0000_s1026" style="position:absolute;margin-left:-44.55pt;margin-top:19.5pt;width:512.5pt;height:77.75pt;z-index:251659264;visibility:visible;mso-wrap-style:square;mso-width-percent:0;mso-height-percent:98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" o:allowoverlap="f" fillcolor="#5b9bd5 [3204]" stroked="f" strokeweight="1pt">
              <v:path arrowok="t"/>
              <o:lock v:ext="edit" aspectratio="t"/>
              <v:textbox>
                <w:txbxContent>
                  <w:tbl>
                    <w:tblPr>
                      <w:tblW w:w="4942" w:type="pct"/>
                      <w:shd w:val="clear" w:color="auto" w:fill="4F81BD"/>
                      <w:tblCellMar>
                        <w:top w:w="115" w:type="dxa"/>
                        <w:left w:w="115" w:type="dxa"/>
                        <w:bottom w:w="115" w:type="dxa"/>
                        <w:right w:w="115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30"/>
                      <w:gridCol w:w="7997"/>
                    </w:tblGrid>
                    <w:tr w:rsidR="00DA0F44" w:rsidRPr="009C74B7" w:rsidTr="00C8567D">
                      <w:trPr>
                        <w:trHeight w:val="20"/>
                      </w:trPr>
                      <w:tc>
                        <w:tcPr>
                          <w:tcW w:w="931" w:type="pct"/>
                          <w:shd w:val="clear" w:color="auto" w:fill="C6D9F1"/>
                          <w:vAlign w:val="center"/>
                        </w:tcPr>
                        <w:p w:rsidR="00DA0F44" w:rsidRPr="006F2676" w:rsidRDefault="00DA0F44" w:rsidP="00DA0F44">
                          <w:pPr>
                            <w:pStyle w:val="a4"/>
                            <w:tabs>
                              <w:tab w:val="clear" w:pos="9355"/>
                              <w:tab w:val="right" w:pos="1587"/>
                            </w:tabs>
                            <w:rPr>
                              <w:caps/>
                              <w:color w:val="FFFFFF"/>
                              <w:lang w:val="en-US" w:eastAsia="en-US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/>
                            </w:rPr>
                            <w:drawing>
                              <wp:inline distT="0" distB="0" distL="0" distR="0" wp14:anchorId="6AD783DC" wp14:editId="68EA9198">
                                <wp:extent cx="857250" cy="419100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069" w:type="pct"/>
                          <w:shd w:val="clear" w:color="auto" w:fill="4F81BD"/>
                          <w:vAlign w:val="center"/>
                        </w:tcPr>
                        <w:p w:rsidR="00DA0F44" w:rsidRPr="009C74B7" w:rsidRDefault="00DA0F44" w:rsidP="00736B0E">
                          <w:pPr>
                            <w:pStyle w:val="a4"/>
                            <w:jc w:val="center"/>
                            <w:rPr>
                              <w:caps/>
                              <w:lang w:eastAsia="en-US"/>
                            </w:rPr>
                          </w:pPr>
                          <w:r>
                            <w:rPr>
                              <w:caps/>
                            </w:rPr>
                            <w:t xml:space="preserve">ПРИЛОЖЕНИЕ № </w:t>
                          </w:r>
                          <w:r w:rsidR="00736B0E">
                            <w:rPr>
                              <w:caps/>
                            </w:rPr>
                            <w:t>1</w:t>
                          </w:r>
                          <w:r>
                            <w:rPr>
                              <w:caps/>
                            </w:rPr>
                            <w:t xml:space="preserve"> К </w:t>
                          </w:r>
                          <w:r w:rsidRPr="009C74B7">
                            <w:rPr>
                              <w:caps/>
                            </w:rPr>
                            <w:t>ПОЛОЖЕНИ</w:t>
                          </w:r>
                          <w:r>
                            <w:rPr>
                              <w:caps/>
                            </w:rPr>
                            <w:t>Ю</w:t>
                          </w:r>
                          <w:r w:rsidRPr="009C74B7">
                            <w:rPr>
                              <w:caps/>
                            </w:rPr>
                            <w:t xml:space="preserve"> Об антикоррупционной политике</w:t>
                          </w:r>
                        </w:p>
                      </w:tc>
                    </w:tr>
                  </w:tbl>
                  <w:p w:rsidR="00DA0F44" w:rsidRDefault="00DA0F44">
                    <w:pPr>
                      <w:pStyle w:val="a4"/>
                      <w:tabs>
                        <w:tab w:val="clear" w:pos="4677"/>
                        <w:tab w:val="clear" w:pos="9355"/>
                      </w:tabs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B1CF9"/>
    <w:multiLevelType w:val="multilevel"/>
    <w:tmpl w:val="5EB81A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54870AF6"/>
    <w:multiLevelType w:val="hybridMultilevel"/>
    <w:tmpl w:val="A7DE8ECE"/>
    <w:lvl w:ilvl="0" w:tplc="2E2841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F433E61"/>
    <w:multiLevelType w:val="multilevel"/>
    <w:tmpl w:val="22E410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44"/>
    <w:rsid w:val="00052C03"/>
    <w:rsid w:val="003935E7"/>
    <w:rsid w:val="00592451"/>
    <w:rsid w:val="00736B0E"/>
    <w:rsid w:val="0078090E"/>
    <w:rsid w:val="009F2C6B"/>
    <w:rsid w:val="00D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BCECF-9507-450A-A41C-D155764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0F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0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A0F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Людмила Геннадьевна</dc:creator>
  <cp:keywords/>
  <dc:description/>
  <cp:lastModifiedBy>Евсеева Людмила Геннадьевна</cp:lastModifiedBy>
  <cp:revision>2</cp:revision>
  <dcterms:created xsi:type="dcterms:W3CDTF">2021-05-12T10:01:00Z</dcterms:created>
  <dcterms:modified xsi:type="dcterms:W3CDTF">2021-05-12T10:01:00Z</dcterms:modified>
</cp:coreProperties>
</file>